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AB29F"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КС РФ подтвердил законность полновесных штрафов за просрочку исполнения госконтрактов</w:t>
      </w:r>
    </w:p>
    <w:p w14:paraId="3E5014FB"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23 марта 2021 года Конституционный Суд РФ указал на ответственность за неисполнение муниципальных контрактов.</w:t>
      </w:r>
    </w:p>
    <w:p w14:paraId="70E49008"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Дело о проверке конституционности части 7 статьи 7.32 Кодекса РФ об административных правонарушениях рассмотрено в связи с жалобой общества с ограниченной ответственностью «Компания Ладога». Постановление КС РФ от 18.03.2021 №7-П основано на ранее вынесенных правовых позициях суда.</w:t>
      </w:r>
    </w:p>
    <w:p w14:paraId="5A5A5478"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История вопроса</w:t>
      </w:r>
    </w:p>
    <w:p w14:paraId="58D2C6FB"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ООО «Компания Ладога» из Санкт–Петербурга заключила с администрацией Тугуро-Чумиканского муниципального района Хабаровского края контракт на поставку запасных частей для ремонта электростанции в селе Чумикан. Нужные детали компания поставила, но на три месяца позже установленного срока, и ее признали виновной в неисполнении обязательств по контракту. Суды назначили штраф  (более 2 млн рублей - половину стоимости всего контракта), указав на неудобства лишенных бесперебойного электроснабжения жителей и нарушение нормального режима работы учреждений и предприятий Чумикана и окрестностей. Установленный штраф в два раза ниже низшего предела, предусмотренного санкцией оспоренной нормы. Однако «Компания Ладога» считает, что приравнивание  просрочки исполнения обязательств по контракту к его неисполнению нарушает права юридических лиц.</w:t>
      </w:r>
    </w:p>
    <w:p w14:paraId="11F41819"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Позиция Суда</w:t>
      </w:r>
    </w:p>
    <w:p w14:paraId="1A38012A"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Закон устанавливает ответственность за действия юридических лиц, которые повлекли существенный вред интересам общества. Под такими действиями следует понимать не только неисполнение муниципального контракта, но и нарушение сроков его исполнения. При этом состав данного правонарушения требует устанавливать наличие реального вреда охраняемым законом интересам общества и его существенность, которая определяется размером, характером нанесенного ущерба, а также особой ценностью нарушенного блага. Существенность вреда может выражаться в материальном ущербе, нарушении нормальной работы органов местного самоуправления и муниципальных учреждений. Норма направлена на стимулирование исполнения контрактных обязательств, на предотвращение новых правонарушений, не порождает неопределенности и противоречивой правоприменительной практики и не может рассматриваться как ущемляющая права и свободы юридических лиц. #неустойка</w:t>
      </w:r>
    </w:p>
    <w:p w14:paraId="71915CB4"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p>
    <w:p w14:paraId="709E6B49"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Источник: Пресс-служба КС РФ</w:t>
      </w:r>
    </w:p>
    <w:p w14:paraId="0886C024" w14:textId="77777777"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p>
    <w:p w14:paraId="4710C2AF" w14:textId="3485D8DB" w:rsidR="00907466" w:rsidRPr="00907466" w:rsidRDefault="00907466" w:rsidP="00907466">
      <w:pPr>
        <w:shd w:val="clear" w:color="auto" w:fill="FFFFFF"/>
        <w:spacing w:after="255" w:line="240" w:lineRule="atLeast"/>
        <w:outlineLvl w:val="3"/>
        <w:rPr>
          <w:rFonts w:ascii="Arial" w:eastAsia="Times New Roman" w:hAnsi="Arial" w:cs="Arial"/>
          <w:color w:val="4D4D4D"/>
          <w:sz w:val="23"/>
          <w:szCs w:val="23"/>
          <w:lang w:eastAsia="ru-RU"/>
        </w:rPr>
      </w:pPr>
      <w:r w:rsidRPr="00907466">
        <w:rPr>
          <w:rFonts w:ascii="Arial" w:eastAsia="Times New Roman" w:hAnsi="Arial" w:cs="Arial"/>
          <w:color w:val="4D4D4D"/>
          <w:sz w:val="23"/>
          <w:szCs w:val="23"/>
          <w:lang w:eastAsia="ru-RU"/>
        </w:rPr>
        <w:t>doc.ksrf.ru/decision/KSRFDecision522583.pdf</w:t>
      </w:r>
    </w:p>
    <w:p w14:paraId="2D57FAA2" w14:textId="77777777" w:rsidR="00907466" w:rsidRDefault="00907466" w:rsidP="00A155AA">
      <w:pPr>
        <w:shd w:val="clear" w:color="auto" w:fill="FFFFFF"/>
        <w:spacing w:after="255" w:line="240" w:lineRule="atLeast"/>
        <w:outlineLvl w:val="3"/>
        <w:rPr>
          <w:rFonts w:ascii="Arial" w:eastAsia="Times New Roman" w:hAnsi="Arial" w:cs="Arial"/>
          <w:b/>
          <w:bCs/>
          <w:color w:val="4D4D4D"/>
          <w:sz w:val="23"/>
          <w:szCs w:val="23"/>
          <w:lang w:eastAsia="ru-RU"/>
        </w:rPr>
      </w:pPr>
    </w:p>
    <w:p w14:paraId="09353996" w14:textId="77777777" w:rsidR="00907466" w:rsidRDefault="00907466" w:rsidP="00A155AA">
      <w:pPr>
        <w:shd w:val="clear" w:color="auto" w:fill="FFFFFF"/>
        <w:spacing w:after="255" w:line="240" w:lineRule="atLeast"/>
        <w:outlineLvl w:val="3"/>
        <w:rPr>
          <w:rFonts w:ascii="Arial" w:eastAsia="Times New Roman" w:hAnsi="Arial" w:cs="Arial"/>
          <w:b/>
          <w:bCs/>
          <w:color w:val="4D4D4D"/>
          <w:sz w:val="23"/>
          <w:szCs w:val="23"/>
          <w:lang w:eastAsia="ru-RU"/>
        </w:rPr>
      </w:pPr>
    </w:p>
    <w:p w14:paraId="3D8E89DE" w14:textId="77777777" w:rsidR="00907466" w:rsidRDefault="00907466" w:rsidP="00A155AA">
      <w:pPr>
        <w:shd w:val="clear" w:color="auto" w:fill="FFFFFF"/>
        <w:spacing w:after="255" w:line="240" w:lineRule="atLeast"/>
        <w:outlineLvl w:val="3"/>
        <w:rPr>
          <w:rFonts w:ascii="Arial" w:eastAsia="Times New Roman" w:hAnsi="Arial" w:cs="Arial"/>
          <w:b/>
          <w:bCs/>
          <w:color w:val="4D4D4D"/>
          <w:sz w:val="23"/>
          <w:szCs w:val="23"/>
          <w:lang w:eastAsia="ru-RU"/>
        </w:rPr>
      </w:pPr>
    </w:p>
    <w:p w14:paraId="1AFE3D1A" w14:textId="77777777" w:rsidR="00907466" w:rsidRDefault="00907466" w:rsidP="00A155AA">
      <w:pPr>
        <w:shd w:val="clear" w:color="auto" w:fill="FFFFFF"/>
        <w:spacing w:after="255" w:line="240" w:lineRule="atLeast"/>
        <w:outlineLvl w:val="3"/>
        <w:rPr>
          <w:rFonts w:ascii="Arial" w:eastAsia="Times New Roman" w:hAnsi="Arial" w:cs="Arial"/>
          <w:b/>
          <w:bCs/>
          <w:color w:val="4D4D4D"/>
          <w:sz w:val="23"/>
          <w:szCs w:val="23"/>
          <w:lang w:eastAsia="ru-RU"/>
        </w:rPr>
      </w:pPr>
    </w:p>
    <w:p w14:paraId="1E23F1A9" w14:textId="3B302A97" w:rsidR="00A155AA" w:rsidRPr="00A155AA" w:rsidRDefault="0034428E" w:rsidP="00A155AA">
      <w:pPr>
        <w:shd w:val="clear" w:color="auto" w:fill="FFFFFF"/>
        <w:spacing w:after="255" w:line="240" w:lineRule="atLeast"/>
        <w:outlineLvl w:val="3"/>
        <w:rPr>
          <w:rFonts w:ascii="Arial" w:eastAsia="Times New Roman" w:hAnsi="Arial" w:cs="Arial"/>
          <w:b/>
          <w:bCs/>
          <w:color w:val="4D4D4D"/>
          <w:sz w:val="23"/>
          <w:szCs w:val="23"/>
          <w:lang w:eastAsia="ru-RU"/>
        </w:rPr>
      </w:pPr>
      <w:r>
        <w:rPr>
          <w:rFonts w:ascii="Arial" w:eastAsia="Times New Roman" w:hAnsi="Arial" w:cs="Arial"/>
          <w:b/>
          <w:bCs/>
          <w:color w:val="4D4D4D"/>
          <w:sz w:val="23"/>
          <w:szCs w:val="23"/>
          <w:lang w:eastAsia="ru-RU"/>
        </w:rPr>
        <w:t>И</w:t>
      </w:r>
      <w:bookmarkStart w:id="0" w:name="_GoBack"/>
      <w:bookmarkEnd w:id="0"/>
      <w:r w:rsidR="00A155AA" w:rsidRPr="00A155AA">
        <w:rPr>
          <w:rFonts w:ascii="Arial" w:eastAsia="Times New Roman" w:hAnsi="Arial" w:cs="Arial"/>
          <w:b/>
          <w:bCs/>
          <w:color w:val="4D4D4D"/>
          <w:sz w:val="23"/>
          <w:szCs w:val="23"/>
          <w:lang w:eastAsia="ru-RU"/>
        </w:rPr>
        <w:t>сполнитель не выполнил работы в срок, установленный контрактом. Работы выполнены позже надлежащим образом.</w:t>
      </w:r>
      <w:r w:rsidR="00A155AA" w:rsidRPr="00A155AA">
        <w:rPr>
          <w:rFonts w:ascii="Arial" w:eastAsia="Times New Roman" w:hAnsi="Arial" w:cs="Arial"/>
          <w:b/>
          <w:bCs/>
          <w:color w:val="4D4D4D"/>
          <w:sz w:val="23"/>
          <w:szCs w:val="23"/>
          <w:lang w:eastAsia="ru-RU"/>
        </w:rPr>
        <w:br/>
        <w:t>Возможно ли в данной ситуации начисление одновременно пени и штрафа за неисполнение контракта в срок?</w:t>
      </w:r>
    </w:p>
    <w:p w14:paraId="63FA9345" w14:textId="77777777" w:rsidR="00A155AA" w:rsidRPr="00A155AA" w:rsidRDefault="00A155AA" w:rsidP="00A155AA">
      <w:pPr>
        <w:shd w:val="clear" w:color="auto" w:fill="FFFFFF"/>
        <w:spacing w:line="240" w:lineRule="auto"/>
        <w:rPr>
          <w:rFonts w:ascii="Arial" w:eastAsia="Times New Roman" w:hAnsi="Arial" w:cs="Arial"/>
          <w:color w:val="333333"/>
          <w:sz w:val="21"/>
          <w:szCs w:val="21"/>
          <w:lang w:eastAsia="ru-RU"/>
        </w:rPr>
      </w:pPr>
      <w:r w:rsidRPr="00A155AA">
        <w:rPr>
          <w:rFonts w:ascii="Arial" w:eastAsia="Times New Roman" w:hAnsi="Arial" w:cs="Arial"/>
          <w:color w:val="333333"/>
          <w:sz w:val="21"/>
          <w:szCs w:val="21"/>
          <w:lang w:eastAsia="ru-RU"/>
        </w:rPr>
        <w:t>4 мая 2021</w:t>
      </w:r>
    </w:p>
    <w:p w14:paraId="1EF0A4B8" w14:textId="63A28097" w:rsidR="00A155AA" w:rsidRPr="00A155AA" w:rsidRDefault="00A155AA" w:rsidP="00A155AA">
      <w:pPr>
        <w:shd w:val="clear" w:color="auto" w:fill="FFFFFF"/>
        <w:spacing w:after="75" w:line="240" w:lineRule="auto"/>
        <w:rPr>
          <w:rFonts w:ascii="Arial" w:eastAsia="Times New Roman" w:hAnsi="Arial" w:cs="Arial"/>
          <w:color w:val="333333"/>
          <w:sz w:val="21"/>
          <w:szCs w:val="21"/>
          <w:lang w:eastAsia="ru-RU"/>
        </w:rPr>
      </w:pPr>
    </w:p>
    <w:p w14:paraId="10EBFAD7" w14:textId="77777777" w:rsidR="00A155AA" w:rsidRPr="00A155AA" w:rsidRDefault="00A155AA" w:rsidP="00A155AA">
      <w:pPr>
        <w:shd w:val="clear" w:color="auto" w:fill="FFFFFF"/>
        <w:spacing w:after="255" w:line="270" w:lineRule="atLeast"/>
        <w:rPr>
          <w:rFonts w:ascii="Arial" w:eastAsia="Times New Roman" w:hAnsi="Arial" w:cs="Arial"/>
          <w:color w:val="333333"/>
          <w:sz w:val="23"/>
          <w:szCs w:val="23"/>
          <w:lang w:eastAsia="ru-RU"/>
        </w:rPr>
      </w:pPr>
      <w:r w:rsidRPr="00A155AA">
        <w:rPr>
          <w:rFonts w:ascii="Arial" w:eastAsia="Times New Roman" w:hAnsi="Arial" w:cs="Arial"/>
          <w:b/>
          <w:bCs/>
          <w:color w:val="333333"/>
          <w:sz w:val="23"/>
          <w:szCs w:val="23"/>
          <w:lang w:eastAsia="ru-RU"/>
        </w:rPr>
        <w:t>Рассмотрев вопрос, мы пришли к следующему выводу:</w:t>
      </w:r>
      <w:r w:rsidRPr="00A155AA">
        <w:rPr>
          <w:rFonts w:ascii="Arial" w:eastAsia="Times New Roman" w:hAnsi="Arial" w:cs="Arial"/>
          <w:b/>
          <w:bCs/>
          <w:color w:val="333333"/>
          <w:sz w:val="23"/>
          <w:szCs w:val="23"/>
          <w:lang w:eastAsia="ru-RU"/>
        </w:rPr>
        <w:br/>
      </w:r>
      <w:r w:rsidRPr="00A155AA">
        <w:rPr>
          <w:rFonts w:ascii="Arial" w:eastAsia="Times New Roman" w:hAnsi="Arial" w:cs="Arial"/>
          <w:color w:val="333333"/>
          <w:sz w:val="23"/>
          <w:szCs w:val="23"/>
          <w:lang w:eastAsia="ru-RU"/>
        </w:rPr>
        <w:t>Законодательство о контрактной системе допускает возможность одновременного взыскания с контрагента штрафа и пени. Однако если ненадлежащее исполнение со стороны поставщика (исполнителя, подрядчика) состоит исключительно в просрочке исполнения предусмотренного контрактом обязательства, оснований для взыскания штрафа не имеется.</w:t>
      </w:r>
    </w:p>
    <w:p w14:paraId="4802D555" w14:textId="77777777" w:rsidR="00A155AA" w:rsidRPr="00A155AA" w:rsidRDefault="00A155AA" w:rsidP="00A155AA">
      <w:pPr>
        <w:shd w:val="clear" w:color="auto" w:fill="FFFFFF"/>
        <w:spacing w:after="255" w:line="270" w:lineRule="atLeast"/>
        <w:rPr>
          <w:rFonts w:ascii="Arial" w:eastAsia="Times New Roman" w:hAnsi="Arial" w:cs="Arial"/>
          <w:color w:val="333333"/>
          <w:sz w:val="23"/>
          <w:szCs w:val="23"/>
          <w:lang w:eastAsia="ru-RU"/>
        </w:rPr>
      </w:pPr>
      <w:r w:rsidRPr="00A155AA">
        <w:rPr>
          <w:rFonts w:ascii="Arial" w:eastAsia="Times New Roman" w:hAnsi="Arial" w:cs="Arial"/>
          <w:b/>
          <w:bCs/>
          <w:color w:val="333333"/>
          <w:sz w:val="23"/>
          <w:szCs w:val="23"/>
          <w:lang w:eastAsia="ru-RU"/>
        </w:rPr>
        <w:t>Обоснование вывода:</w:t>
      </w:r>
      <w:r w:rsidRPr="00A155AA">
        <w:rPr>
          <w:rFonts w:ascii="Arial" w:eastAsia="Times New Roman" w:hAnsi="Arial" w:cs="Arial"/>
          <w:b/>
          <w:bCs/>
          <w:color w:val="333333"/>
          <w:sz w:val="23"/>
          <w:szCs w:val="23"/>
          <w:lang w:eastAsia="ru-RU"/>
        </w:rPr>
        <w:br/>
      </w:r>
      <w:hyperlink r:id="rId4" w:anchor="block_346" w:history="1">
        <w:r w:rsidRPr="00A155AA">
          <w:rPr>
            <w:rFonts w:ascii="Arial" w:eastAsia="Times New Roman" w:hAnsi="Arial" w:cs="Arial"/>
            <w:color w:val="808080"/>
            <w:sz w:val="23"/>
            <w:szCs w:val="23"/>
            <w:u w:val="single"/>
            <w:bdr w:val="none" w:sz="0" w:space="0" w:color="auto" w:frame="1"/>
            <w:lang w:eastAsia="ru-RU"/>
          </w:rPr>
          <w:t>Частью 6 ст. 34</w:t>
        </w:r>
      </w:hyperlink>
      <w:r w:rsidRPr="00A155AA">
        <w:rPr>
          <w:rFonts w:ascii="Arial" w:eastAsia="Times New Roman" w:hAnsi="Arial" w:cs="Arial"/>
          <w:color w:val="333333"/>
          <w:sz w:val="23"/>
          <w:szCs w:val="23"/>
          <w:lang w:eastAsia="ru-RU"/>
        </w:rPr>
        <w:t>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предусмотрено, что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r w:rsidRPr="00A155AA">
        <w:rPr>
          <w:rFonts w:ascii="Arial" w:eastAsia="Times New Roman" w:hAnsi="Arial" w:cs="Arial"/>
          <w:color w:val="333333"/>
          <w:sz w:val="23"/>
          <w:szCs w:val="23"/>
          <w:lang w:eastAsia="ru-RU"/>
        </w:rPr>
        <w:br/>
        <w:t>Необходимо учитывать, что:</w:t>
      </w:r>
      <w:r w:rsidRPr="00A155AA">
        <w:rPr>
          <w:rFonts w:ascii="Arial" w:eastAsia="Times New Roman" w:hAnsi="Arial" w:cs="Arial"/>
          <w:color w:val="333333"/>
          <w:sz w:val="23"/>
          <w:szCs w:val="23"/>
          <w:lang w:eastAsia="ru-RU"/>
        </w:rPr>
        <w:br/>
        <w:t>-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ЦБ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hyperlink r:id="rId5" w:anchor="block_347" w:history="1">
        <w:r w:rsidRPr="00A155AA">
          <w:rPr>
            <w:rFonts w:ascii="Arial" w:eastAsia="Times New Roman" w:hAnsi="Arial" w:cs="Arial"/>
            <w:color w:val="808080"/>
            <w:sz w:val="23"/>
            <w:szCs w:val="23"/>
            <w:u w:val="single"/>
            <w:bdr w:val="none" w:sz="0" w:space="0" w:color="auto" w:frame="1"/>
            <w:lang w:eastAsia="ru-RU"/>
          </w:rPr>
          <w:t>ч. 7 ст. 34</w:t>
        </w:r>
      </w:hyperlink>
      <w:r w:rsidRPr="00A155AA">
        <w:rPr>
          <w:rFonts w:ascii="Arial" w:eastAsia="Times New Roman" w:hAnsi="Arial" w:cs="Arial"/>
          <w:color w:val="333333"/>
          <w:sz w:val="23"/>
          <w:szCs w:val="23"/>
          <w:lang w:eastAsia="ru-RU"/>
        </w:rPr>
        <w:t> Закона N 44-ФЗ);</w:t>
      </w:r>
      <w:r w:rsidRPr="00A155AA">
        <w:rPr>
          <w:rFonts w:ascii="Arial" w:eastAsia="Times New Roman" w:hAnsi="Arial" w:cs="Arial"/>
          <w:color w:val="333333"/>
          <w:sz w:val="23"/>
          <w:szCs w:val="23"/>
          <w:lang w:eastAsia="ru-RU"/>
        </w:rPr>
        <w:br/>
        <w:t>-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РФ, за исключением случаев, если законодательством РФ установлен иной порядок начисления штрафов (</w:t>
      </w:r>
      <w:hyperlink r:id="rId6" w:anchor="block_348" w:history="1">
        <w:r w:rsidRPr="00A155AA">
          <w:rPr>
            <w:rFonts w:ascii="Arial" w:eastAsia="Times New Roman" w:hAnsi="Arial" w:cs="Arial"/>
            <w:color w:val="808080"/>
            <w:sz w:val="23"/>
            <w:szCs w:val="23"/>
            <w:u w:val="single"/>
            <w:bdr w:val="none" w:sz="0" w:space="0" w:color="auto" w:frame="1"/>
            <w:lang w:eastAsia="ru-RU"/>
          </w:rPr>
          <w:t>ч. 8 ст. 34</w:t>
        </w:r>
      </w:hyperlink>
      <w:r w:rsidRPr="00A155AA">
        <w:rPr>
          <w:rFonts w:ascii="Arial" w:eastAsia="Times New Roman" w:hAnsi="Arial" w:cs="Arial"/>
          <w:color w:val="333333"/>
          <w:sz w:val="23"/>
          <w:szCs w:val="23"/>
          <w:lang w:eastAsia="ru-RU"/>
        </w:rPr>
        <w:t> Закона N 44-ФЗ).</w:t>
      </w:r>
      <w:r w:rsidRPr="00A155AA">
        <w:rPr>
          <w:rFonts w:ascii="Arial" w:eastAsia="Times New Roman" w:hAnsi="Arial" w:cs="Arial"/>
          <w:color w:val="333333"/>
          <w:sz w:val="23"/>
          <w:szCs w:val="23"/>
          <w:lang w:eastAsia="ru-RU"/>
        </w:rPr>
        <w:br/>
        <w:t>Как видно из приведенных норм, за разные виды нарушений контрагентом обязательств, предусмотренных контрактом, </w:t>
      </w:r>
      <w:hyperlink r:id="rId7" w:history="1">
        <w:r w:rsidRPr="00A155AA">
          <w:rPr>
            <w:rFonts w:ascii="Arial" w:eastAsia="Times New Roman" w:hAnsi="Arial" w:cs="Arial"/>
            <w:color w:val="808080"/>
            <w:sz w:val="23"/>
            <w:szCs w:val="23"/>
            <w:u w:val="single"/>
            <w:bdr w:val="none" w:sz="0" w:space="0" w:color="auto" w:frame="1"/>
            <w:lang w:eastAsia="ru-RU"/>
          </w:rPr>
          <w:t>Закон</w:t>
        </w:r>
      </w:hyperlink>
      <w:r w:rsidRPr="00A155AA">
        <w:rPr>
          <w:rFonts w:ascii="Arial" w:eastAsia="Times New Roman" w:hAnsi="Arial" w:cs="Arial"/>
          <w:color w:val="333333"/>
          <w:sz w:val="23"/>
          <w:szCs w:val="23"/>
          <w:lang w:eastAsia="ru-RU"/>
        </w:rPr>
        <w:t> N 44-ФЗ предусматривает различные виды ответственности: пеня начисляется при просрочке исполнения обязательств, штрафы - за неисполнение или ненадлежащее исполнение контрагентом обязательств, кроме просрочки.</w:t>
      </w:r>
      <w:r w:rsidRPr="00A155AA">
        <w:rPr>
          <w:rFonts w:ascii="Arial" w:eastAsia="Times New Roman" w:hAnsi="Arial" w:cs="Arial"/>
          <w:color w:val="333333"/>
          <w:sz w:val="23"/>
          <w:szCs w:val="23"/>
          <w:lang w:eastAsia="ru-RU"/>
        </w:rPr>
        <w:br/>
        <w:t xml:space="preserve">В правоприменительной практике выработан подход, признающий принципиально возможным одновременное взыскание заказчиком суммы штрафа и пени в случае </w:t>
      </w:r>
      <w:r w:rsidRPr="00A155AA">
        <w:rPr>
          <w:rFonts w:ascii="Arial" w:eastAsia="Times New Roman" w:hAnsi="Arial" w:cs="Arial"/>
          <w:color w:val="333333"/>
          <w:sz w:val="23"/>
          <w:szCs w:val="23"/>
          <w:lang w:eastAsia="ru-RU"/>
        </w:rPr>
        <w:lastRenderedPageBreak/>
        <w:t>неисполнения поставщиком обязательств, предусмотренных контрактом (определение СК по экономическим спорам ВС РФ от 09.03.2017 N 302-ЭС16-14360, п. 36 Обзора ВС РФ от 28.06.2017). Такая возможность имеется, например, в случаях, когда поставщик вообще не приступал к исполнению контракта либо контракт исполнен частично. На наш взгляд, данная позиция применима к любым контрактам, а не только к контрактам на поставку товара.</w:t>
      </w:r>
      <w:r w:rsidRPr="00A155AA">
        <w:rPr>
          <w:rFonts w:ascii="Arial" w:eastAsia="Times New Roman" w:hAnsi="Arial" w:cs="Arial"/>
          <w:color w:val="333333"/>
          <w:sz w:val="23"/>
          <w:szCs w:val="23"/>
          <w:lang w:eastAsia="ru-RU"/>
        </w:rPr>
        <w:br/>
        <w:t>Если же все нарушения, допущенные контрагентом, сводятся к просрочке исполнения, то основания для взыскания штрафа отсутствуют. Это подтверждается и судебной практикой*(1).</w:t>
      </w:r>
    </w:p>
    <w:p w14:paraId="2FBF05CE" w14:textId="77777777" w:rsidR="00A155AA" w:rsidRPr="00A155AA" w:rsidRDefault="00A155AA" w:rsidP="00A155AA">
      <w:pPr>
        <w:shd w:val="clear" w:color="auto" w:fill="FFFFFF"/>
        <w:spacing w:after="255" w:line="270" w:lineRule="atLeast"/>
        <w:rPr>
          <w:rFonts w:ascii="Arial" w:eastAsia="Times New Roman" w:hAnsi="Arial" w:cs="Arial"/>
          <w:color w:val="333333"/>
          <w:sz w:val="23"/>
          <w:szCs w:val="23"/>
          <w:lang w:eastAsia="ru-RU"/>
        </w:rPr>
      </w:pPr>
      <w:r w:rsidRPr="00A155AA">
        <w:rPr>
          <w:rFonts w:ascii="Arial" w:eastAsia="Times New Roman" w:hAnsi="Arial" w:cs="Arial"/>
          <w:color w:val="333333"/>
          <w:sz w:val="23"/>
          <w:szCs w:val="23"/>
          <w:lang w:eastAsia="ru-RU"/>
        </w:rPr>
        <w:t>Рекомендуем также ознакомиться с материалом:</w:t>
      </w:r>
      <w:r w:rsidRPr="00A155AA">
        <w:rPr>
          <w:rFonts w:ascii="Arial" w:eastAsia="Times New Roman" w:hAnsi="Arial" w:cs="Arial"/>
          <w:color w:val="333333"/>
          <w:sz w:val="23"/>
          <w:szCs w:val="23"/>
          <w:lang w:eastAsia="ru-RU"/>
        </w:rPr>
        <w:br/>
        <w:t>- Энциклопедия решений. Ответственность поставщика (штраф, пеня) по контракту по </w:t>
      </w:r>
      <w:hyperlink r:id="rId8" w:history="1">
        <w:r w:rsidRPr="00A155AA">
          <w:rPr>
            <w:rFonts w:ascii="Arial" w:eastAsia="Times New Roman" w:hAnsi="Arial" w:cs="Arial"/>
            <w:color w:val="808080"/>
            <w:sz w:val="23"/>
            <w:szCs w:val="23"/>
            <w:u w:val="single"/>
            <w:bdr w:val="none" w:sz="0" w:space="0" w:color="auto" w:frame="1"/>
            <w:lang w:eastAsia="ru-RU"/>
          </w:rPr>
          <w:t>Закону</w:t>
        </w:r>
      </w:hyperlink>
      <w:r w:rsidRPr="00A155AA">
        <w:rPr>
          <w:rFonts w:ascii="Arial" w:eastAsia="Times New Roman" w:hAnsi="Arial" w:cs="Arial"/>
          <w:color w:val="333333"/>
          <w:sz w:val="23"/>
          <w:szCs w:val="23"/>
          <w:lang w:eastAsia="ru-RU"/>
        </w:rPr>
        <w:t> N 44-ФЗ.</w:t>
      </w:r>
    </w:p>
    <w:p w14:paraId="4E4E8734" w14:textId="77777777" w:rsidR="00A155AA" w:rsidRPr="00A155AA" w:rsidRDefault="00A155AA" w:rsidP="00A155AA">
      <w:pPr>
        <w:shd w:val="clear" w:color="auto" w:fill="FFFFFF"/>
        <w:spacing w:after="255" w:line="270" w:lineRule="atLeast"/>
        <w:jc w:val="right"/>
        <w:rPr>
          <w:rFonts w:ascii="Arial" w:eastAsia="Times New Roman" w:hAnsi="Arial" w:cs="Arial"/>
          <w:color w:val="333333"/>
          <w:sz w:val="23"/>
          <w:szCs w:val="23"/>
          <w:lang w:eastAsia="ru-RU"/>
        </w:rPr>
      </w:pPr>
      <w:r w:rsidRPr="00A155AA">
        <w:rPr>
          <w:rFonts w:ascii="Arial" w:eastAsia="Times New Roman" w:hAnsi="Arial" w:cs="Arial"/>
          <w:i/>
          <w:iCs/>
          <w:color w:val="333333"/>
          <w:sz w:val="23"/>
          <w:szCs w:val="23"/>
          <w:lang w:eastAsia="ru-RU"/>
        </w:rPr>
        <w:t>Ответ подготовил:</w:t>
      </w:r>
      <w:r w:rsidRPr="00A155AA">
        <w:rPr>
          <w:rFonts w:ascii="Arial" w:eastAsia="Times New Roman" w:hAnsi="Arial" w:cs="Arial"/>
          <w:i/>
          <w:iCs/>
          <w:color w:val="333333"/>
          <w:sz w:val="23"/>
          <w:szCs w:val="23"/>
          <w:lang w:eastAsia="ru-RU"/>
        </w:rPr>
        <w:br/>
        <w:t>Эксперт службы Правового консалтинга ГАРАНТ</w:t>
      </w:r>
      <w:r w:rsidRPr="00A155AA">
        <w:rPr>
          <w:rFonts w:ascii="Arial" w:eastAsia="Times New Roman" w:hAnsi="Arial" w:cs="Arial"/>
          <w:i/>
          <w:iCs/>
          <w:color w:val="333333"/>
          <w:sz w:val="23"/>
          <w:szCs w:val="23"/>
          <w:lang w:eastAsia="ru-RU"/>
        </w:rPr>
        <w:br/>
        <w:t>Верхова Надежда</w:t>
      </w:r>
    </w:p>
    <w:p w14:paraId="35A5A7CA" w14:textId="77777777" w:rsidR="00A155AA" w:rsidRPr="00A155AA" w:rsidRDefault="00A155AA" w:rsidP="00A155AA">
      <w:pPr>
        <w:shd w:val="clear" w:color="auto" w:fill="FFFFFF"/>
        <w:spacing w:after="255" w:line="270" w:lineRule="atLeast"/>
        <w:jc w:val="right"/>
        <w:rPr>
          <w:rFonts w:ascii="Arial" w:eastAsia="Times New Roman" w:hAnsi="Arial" w:cs="Arial"/>
          <w:color w:val="333333"/>
          <w:sz w:val="23"/>
          <w:szCs w:val="23"/>
          <w:lang w:eastAsia="ru-RU"/>
        </w:rPr>
      </w:pPr>
      <w:r w:rsidRPr="00A155AA">
        <w:rPr>
          <w:rFonts w:ascii="Arial" w:eastAsia="Times New Roman" w:hAnsi="Arial" w:cs="Arial"/>
          <w:i/>
          <w:iCs/>
          <w:color w:val="333333"/>
          <w:sz w:val="23"/>
          <w:szCs w:val="23"/>
          <w:lang w:eastAsia="ru-RU"/>
        </w:rPr>
        <w:t>Ответ прошел контроль качества</w:t>
      </w:r>
    </w:p>
    <w:p w14:paraId="2F22B851" w14:textId="77777777" w:rsidR="00A155AA" w:rsidRPr="00A155AA" w:rsidRDefault="00A155AA" w:rsidP="00A155AA">
      <w:pPr>
        <w:shd w:val="clear" w:color="auto" w:fill="FFFFFF"/>
        <w:spacing w:after="255" w:line="270" w:lineRule="atLeast"/>
        <w:rPr>
          <w:rFonts w:ascii="Arial" w:eastAsia="Times New Roman" w:hAnsi="Arial" w:cs="Arial"/>
          <w:color w:val="333333"/>
          <w:sz w:val="23"/>
          <w:szCs w:val="23"/>
          <w:lang w:eastAsia="ru-RU"/>
        </w:rPr>
      </w:pPr>
      <w:r w:rsidRPr="00A155AA">
        <w:rPr>
          <w:rFonts w:ascii="Arial" w:eastAsia="Times New Roman" w:hAnsi="Arial" w:cs="Arial"/>
          <w:color w:val="333333"/>
          <w:sz w:val="23"/>
          <w:szCs w:val="23"/>
          <w:lang w:eastAsia="ru-RU"/>
        </w:rPr>
        <w:t>19 апреля 2021 г.</w:t>
      </w:r>
    </w:p>
    <w:p w14:paraId="6205BD49" w14:textId="77777777" w:rsidR="00A155AA" w:rsidRPr="00A155AA" w:rsidRDefault="00A155AA" w:rsidP="00A155AA">
      <w:pPr>
        <w:shd w:val="clear" w:color="auto" w:fill="FFFFFF"/>
        <w:spacing w:after="255" w:line="270" w:lineRule="atLeast"/>
        <w:rPr>
          <w:rFonts w:ascii="Arial" w:eastAsia="Times New Roman" w:hAnsi="Arial" w:cs="Arial"/>
          <w:color w:val="333333"/>
          <w:sz w:val="23"/>
          <w:szCs w:val="23"/>
          <w:lang w:eastAsia="ru-RU"/>
        </w:rPr>
      </w:pPr>
      <w:r w:rsidRPr="00A155AA">
        <w:rPr>
          <w:rFonts w:ascii="Arial" w:eastAsia="Times New Roman" w:hAnsi="Arial" w:cs="Arial"/>
          <w:color w:val="333333"/>
          <w:sz w:val="23"/>
          <w:szCs w:val="23"/>
          <w:lang w:eastAsia="ru-RU"/>
        </w:rPr>
        <w:t>Материал подготовлен на основе индивидуальной письменной консультации, оказанной в рамках услуги Правовой консалтинг. </w:t>
      </w:r>
    </w:p>
    <w:p w14:paraId="113B8CC3" w14:textId="77777777" w:rsidR="00A155AA" w:rsidRPr="00A155AA" w:rsidRDefault="00A155AA" w:rsidP="00A155AA">
      <w:pPr>
        <w:shd w:val="clear" w:color="auto" w:fill="FFFFFF"/>
        <w:spacing w:after="255" w:line="270" w:lineRule="atLeast"/>
        <w:rPr>
          <w:rFonts w:ascii="Arial" w:eastAsia="Times New Roman" w:hAnsi="Arial" w:cs="Arial"/>
          <w:color w:val="333333"/>
          <w:sz w:val="23"/>
          <w:szCs w:val="23"/>
          <w:lang w:eastAsia="ru-RU"/>
        </w:rPr>
      </w:pPr>
      <w:r w:rsidRPr="00A155AA">
        <w:rPr>
          <w:rFonts w:ascii="Arial" w:eastAsia="Times New Roman" w:hAnsi="Arial" w:cs="Arial"/>
          <w:color w:val="333333"/>
          <w:sz w:val="23"/>
          <w:szCs w:val="23"/>
          <w:lang w:eastAsia="ru-RU"/>
        </w:rPr>
        <w:t>-------------------------------------------------------------------------</w:t>
      </w:r>
      <w:r w:rsidRPr="00A155AA">
        <w:rPr>
          <w:rFonts w:ascii="Arial" w:eastAsia="Times New Roman" w:hAnsi="Arial" w:cs="Arial"/>
          <w:color w:val="333333"/>
          <w:sz w:val="23"/>
          <w:szCs w:val="23"/>
          <w:lang w:eastAsia="ru-RU"/>
        </w:rPr>
        <w:br/>
        <w:t>*(1) Смотрите, например: определение ВС РФ от 10.03.2021 N 303-ЭС21-650, определение ВС РФ от 15.02.2021 N 303-ЭС20-23708, определение СК по экономическим спорам ВС РФ от 20.12.2018 N 310-ЭС18-13489, определение ВС РФ от 30.05.2019 N 304-ЭС19-7636, постановление АС Дальневосточного округа от 26.03.2020 N Ф03-765/20 по делу N А16-1875/2019, постановление АС Восточно-Сибирского округа от 30.01.2017 N Ф02-7749/16 по делу N А74-3194/2016, постановление Семнадцатого арбитражного апелляционного суда от 21.08.2017 N 17АП-9856/17, постановление АС Северо-Западного округа от 16.03.2017 N Ф07-1726/17 по делу N А66-17321/2015).</w:t>
      </w:r>
    </w:p>
    <w:p w14:paraId="59D71AC0" w14:textId="6FC43EBF" w:rsidR="00571260" w:rsidRDefault="00A155AA">
      <w:r w:rsidRPr="00A155AA">
        <w:t>https://www.garant.ru/consult/gpurchase/1461194/</w:t>
      </w:r>
    </w:p>
    <w:sectPr w:rsidR="00571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1B"/>
    <w:rsid w:val="0029651B"/>
    <w:rsid w:val="0034428E"/>
    <w:rsid w:val="00571260"/>
    <w:rsid w:val="00907466"/>
    <w:rsid w:val="00A155AA"/>
    <w:rsid w:val="00E205C2"/>
    <w:rsid w:val="00F12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20E7"/>
  <w15:chartTrackingRefBased/>
  <w15:docId w15:val="{872DB775-A8BF-4A45-865B-F96C1E0C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A155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155AA"/>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A155AA"/>
    <w:rPr>
      <w:color w:val="0000FF"/>
      <w:u w:val="single"/>
    </w:rPr>
  </w:style>
  <w:style w:type="paragraph" w:styleId="a4">
    <w:name w:val="Normal (Web)"/>
    <w:basedOn w:val="a"/>
    <w:uiPriority w:val="99"/>
    <w:semiHidden/>
    <w:unhideWhenUsed/>
    <w:rsid w:val="00A155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155AA"/>
    <w:rPr>
      <w:b/>
      <w:bCs/>
    </w:rPr>
  </w:style>
  <w:style w:type="character" w:styleId="a6">
    <w:name w:val="Emphasis"/>
    <w:basedOn w:val="a0"/>
    <w:uiPriority w:val="20"/>
    <w:qFormat/>
    <w:rsid w:val="00A155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324161">
      <w:bodyDiv w:val="1"/>
      <w:marLeft w:val="0"/>
      <w:marRight w:val="0"/>
      <w:marTop w:val="0"/>
      <w:marBottom w:val="0"/>
      <w:divBdr>
        <w:top w:val="none" w:sz="0" w:space="0" w:color="auto"/>
        <w:left w:val="none" w:sz="0" w:space="0" w:color="auto"/>
        <w:bottom w:val="none" w:sz="0" w:space="0" w:color="auto"/>
        <w:right w:val="none" w:sz="0" w:space="0" w:color="auto"/>
      </w:divBdr>
      <w:divsChild>
        <w:div w:id="122119352">
          <w:marLeft w:val="0"/>
          <w:marRight w:val="0"/>
          <w:marTop w:val="0"/>
          <w:marBottom w:val="180"/>
          <w:divBdr>
            <w:top w:val="none" w:sz="0" w:space="0" w:color="auto"/>
            <w:left w:val="none" w:sz="0" w:space="0" w:color="auto"/>
            <w:bottom w:val="none" w:sz="0" w:space="0" w:color="auto"/>
            <w:right w:val="none" w:sz="0" w:space="0" w:color="auto"/>
          </w:divBdr>
        </w:div>
        <w:div w:id="39008403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353464/" TargetMode="External"/><Relationship Id="rId3" Type="http://schemas.openxmlformats.org/officeDocument/2006/relationships/webSettings" Target="webSettings.xml"/><Relationship Id="rId7" Type="http://schemas.openxmlformats.org/officeDocument/2006/relationships/hyperlink" Target="http://base.garant.ru/703534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70353464/caed1f338455c425853a4f32b00aa739/" TargetMode="External"/><Relationship Id="rId5" Type="http://schemas.openxmlformats.org/officeDocument/2006/relationships/hyperlink" Target="http://base.garant.ru/70353464/caed1f338455c425853a4f32b00aa739/" TargetMode="External"/><Relationship Id="rId10" Type="http://schemas.openxmlformats.org/officeDocument/2006/relationships/theme" Target="theme/theme1.xml"/><Relationship Id="rId4" Type="http://schemas.openxmlformats.org/officeDocument/2006/relationships/hyperlink" Target="http://base.garant.ru/70353464/caed1f338455c425853a4f32b00aa739/"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 Никита Владимирович</dc:creator>
  <cp:keywords/>
  <dc:description/>
  <cp:lastModifiedBy>Усманов Никита Владимирович</cp:lastModifiedBy>
  <cp:revision>3</cp:revision>
  <dcterms:created xsi:type="dcterms:W3CDTF">2022-02-17T12:32:00Z</dcterms:created>
  <dcterms:modified xsi:type="dcterms:W3CDTF">2022-02-17T12:33:00Z</dcterms:modified>
</cp:coreProperties>
</file>